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7753AE" w:rsidRDefault="00897BB7" w:rsidP="007753AE">
      <w:pPr>
        <w:shd w:val="clear" w:color="auto" w:fill="F2F2F2" w:themeFill="background1" w:themeFillShade="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81CF9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9C654F" w:rsidRPr="009C654F">
        <w:rPr>
          <w:rFonts w:ascii="Arial" w:hAnsi="Arial"/>
          <w:b/>
          <w:i/>
          <w:sz w:val="20"/>
          <w:szCs w:val="20"/>
        </w:rPr>
        <w:t xml:space="preserve">Budowa połączenia węzła A4 Brzesko </w:t>
      </w:r>
      <w:r w:rsidR="009C654F">
        <w:rPr>
          <w:rFonts w:ascii="Arial" w:hAnsi="Arial"/>
          <w:b/>
          <w:i/>
          <w:sz w:val="20"/>
          <w:szCs w:val="20"/>
        </w:rPr>
        <w:br/>
      </w:r>
      <w:r w:rsidR="009C654F" w:rsidRPr="009C654F">
        <w:rPr>
          <w:rFonts w:ascii="Arial" w:hAnsi="Arial"/>
          <w:b/>
          <w:i/>
          <w:sz w:val="20"/>
          <w:szCs w:val="20"/>
        </w:rPr>
        <w:t xml:space="preserve">z DW 768 </w:t>
      </w:r>
      <w:r w:rsidR="002A3B28">
        <w:rPr>
          <w:rFonts w:ascii="Arial" w:hAnsi="Arial"/>
          <w:b/>
          <w:i/>
          <w:sz w:val="20"/>
          <w:szCs w:val="20"/>
        </w:rPr>
        <w:t>–</w:t>
      </w:r>
      <w:r w:rsidR="009C654F" w:rsidRPr="009C654F">
        <w:rPr>
          <w:rFonts w:ascii="Arial" w:hAnsi="Arial"/>
          <w:b/>
          <w:i/>
          <w:sz w:val="20"/>
          <w:szCs w:val="20"/>
        </w:rPr>
        <w:t xml:space="preserve"> etap II</w:t>
      </w:r>
    </w:p>
    <w:p w:rsidR="007753AE" w:rsidRPr="007753AE" w:rsidRDefault="007753AE" w:rsidP="007753AE">
      <w:pPr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30"/>
          <w:szCs w:val="30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C654F">
        <w:rPr>
          <w:rFonts w:ascii="Arial" w:hAnsi="Arial" w:cs="Arial"/>
          <w:b/>
          <w:sz w:val="20"/>
          <w:lang w:eastAsia="ar-SA"/>
        </w:rPr>
        <w:t>27</w:t>
      </w:r>
      <w:r w:rsidR="00D953DF">
        <w:rPr>
          <w:rFonts w:ascii="Arial" w:hAnsi="Arial" w:cs="Arial"/>
          <w:b/>
          <w:sz w:val="20"/>
          <w:lang w:eastAsia="ar-SA"/>
        </w:rPr>
        <w:t xml:space="preserve"> miesi</w:t>
      </w:r>
      <w:r w:rsidR="00A81CF9">
        <w:rPr>
          <w:rFonts w:ascii="Arial" w:hAnsi="Arial" w:cs="Arial"/>
          <w:b/>
          <w:sz w:val="20"/>
          <w:lang w:eastAsia="ar-SA"/>
        </w:rPr>
        <w:t>ęcy</w:t>
      </w:r>
      <w:r w:rsidR="00AC72EB">
        <w:rPr>
          <w:rFonts w:ascii="Arial" w:hAnsi="Arial" w:cs="Arial"/>
          <w:b/>
          <w:sz w:val="20"/>
          <w:lang w:eastAsia="ar-SA"/>
        </w:rPr>
        <w:t xml:space="preserve">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81CF9" w:rsidRPr="00A81CF9">
        <w:rPr>
          <w:rFonts w:ascii="Arial" w:hAnsi="Arial" w:cs="Arial"/>
          <w:sz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924B04">
        <w:rPr>
          <w:rFonts w:ascii="Arial" w:eastAsia="Times New Roman" w:hAnsi="Arial" w:cs="Arial"/>
          <w:sz w:val="20"/>
          <w:szCs w:val="20"/>
          <w:lang w:eastAsia="ar-SA"/>
        </w:rPr>
        <w:t>wowego, dla którego udzielamy 60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924B04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EA78C3" w:rsidRPr="00A81CF9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D953DF" w:rsidRPr="00A81CF9" w:rsidRDefault="00D953DF" w:rsidP="00A81CF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953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</w:rPr>
        <w:t>wymian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20"/>
          <w:szCs w:val="20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>
        <w:rPr>
          <w:rFonts w:ascii="Arial" w:eastAsia="Calibri" w:hAnsi="Arial" w:cs="Arial"/>
          <w:sz w:val="20"/>
          <w:szCs w:val="20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A81CF9" w:rsidTr="00A81CF9">
        <w:trPr>
          <w:trHeight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na całej szerokości jezdni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A81CF9" w:rsidTr="00A81CF9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953DF" w:rsidRPr="00A81CF9" w:rsidRDefault="00D953DF" w:rsidP="00D953D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9C654F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421C8">
        <w:rPr>
          <w:rFonts w:ascii="Arial" w:eastAsia="Times New Roman" w:hAnsi="Arial" w:cs="Arial"/>
          <w:sz w:val="20"/>
          <w:szCs w:val="20"/>
          <w:lang w:eastAsia="ar-SA"/>
        </w:rPr>
        <w:t>00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9C654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czterysta tysięcy 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  <w:bookmarkStart w:id="1" w:name="_GoBack"/>
      <w:bookmarkEnd w:id="1"/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o elektromobilności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1127C9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1127C9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1127C9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3.8pt;margin-top:11.4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525C7E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C9" w:rsidRDefault="001127C9" w:rsidP="00897BB7">
      <w:pPr>
        <w:spacing w:after="0" w:line="240" w:lineRule="auto"/>
      </w:pPr>
      <w:r>
        <w:separator/>
      </w:r>
    </w:p>
  </w:endnote>
  <w:endnote w:type="continuationSeparator" w:id="0">
    <w:p w:rsidR="001127C9" w:rsidRDefault="001127C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A3B28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A3B28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C9" w:rsidRDefault="001127C9" w:rsidP="00897BB7">
      <w:pPr>
        <w:spacing w:after="0" w:line="240" w:lineRule="auto"/>
      </w:pPr>
      <w:r>
        <w:separator/>
      </w:r>
    </w:p>
  </w:footnote>
  <w:footnote w:type="continuationSeparator" w:id="0">
    <w:p w:rsidR="001127C9" w:rsidRDefault="001127C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4" w:rsidRDefault="001127C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1127C9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1127C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(zn. ZDW-DN-4-271-</w:t>
    </w:r>
    <w:r w:rsidR="009C654F">
      <w:rPr>
        <w:rFonts w:ascii="Arial" w:hAnsi="Arial" w:cs="Arial"/>
        <w:sz w:val="16"/>
        <w:szCs w:val="16"/>
        <w:lang w:eastAsia="pl-PL"/>
      </w:rPr>
      <w:t>62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127C9"/>
    <w:rsid w:val="00126521"/>
    <w:rsid w:val="001C768C"/>
    <w:rsid w:val="0020350C"/>
    <w:rsid w:val="002437C2"/>
    <w:rsid w:val="002504B0"/>
    <w:rsid w:val="00281451"/>
    <w:rsid w:val="002842E6"/>
    <w:rsid w:val="002A3B28"/>
    <w:rsid w:val="002B2D0D"/>
    <w:rsid w:val="002C61AC"/>
    <w:rsid w:val="002D09A9"/>
    <w:rsid w:val="00307715"/>
    <w:rsid w:val="00321C10"/>
    <w:rsid w:val="0034355B"/>
    <w:rsid w:val="00366406"/>
    <w:rsid w:val="003A25D2"/>
    <w:rsid w:val="003C507F"/>
    <w:rsid w:val="00403C9F"/>
    <w:rsid w:val="00460F58"/>
    <w:rsid w:val="00496E23"/>
    <w:rsid w:val="004B5DC8"/>
    <w:rsid w:val="004E42F7"/>
    <w:rsid w:val="004F049C"/>
    <w:rsid w:val="004F76A6"/>
    <w:rsid w:val="00515DC6"/>
    <w:rsid w:val="00524743"/>
    <w:rsid w:val="00525C7E"/>
    <w:rsid w:val="00527C58"/>
    <w:rsid w:val="00574949"/>
    <w:rsid w:val="005D00E7"/>
    <w:rsid w:val="00627D38"/>
    <w:rsid w:val="00676D73"/>
    <w:rsid w:val="00685E2C"/>
    <w:rsid w:val="0068653F"/>
    <w:rsid w:val="006A7E48"/>
    <w:rsid w:val="006E28E5"/>
    <w:rsid w:val="006E7E72"/>
    <w:rsid w:val="007753AE"/>
    <w:rsid w:val="00796FF3"/>
    <w:rsid w:val="007A2FA7"/>
    <w:rsid w:val="007D2F2F"/>
    <w:rsid w:val="0080155B"/>
    <w:rsid w:val="008101EC"/>
    <w:rsid w:val="00813F39"/>
    <w:rsid w:val="00844FF3"/>
    <w:rsid w:val="00850328"/>
    <w:rsid w:val="00856AD8"/>
    <w:rsid w:val="0086298F"/>
    <w:rsid w:val="00867C1B"/>
    <w:rsid w:val="00883704"/>
    <w:rsid w:val="00897BB7"/>
    <w:rsid w:val="008C7CF8"/>
    <w:rsid w:val="008E58F9"/>
    <w:rsid w:val="009149D6"/>
    <w:rsid w:val="0092494F"/>
    <w:rsid w:val="00924B04"/>
    <w:rsid w:val="009824EC"/>
    <w:rsid w:val="009B27A5"/>
    <w:rsid w:val="009C654F"/>
    <w:rsid w:val="00A02ABA"/>
    <w:rsid w:val="00A16F87"/>
    <w:rsid w:val="00A57D76"/>
    <w:rsid w:val="00A81CF9"/>
    <w:rsid w:val="00A92C1C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E0035"/>
    <w:rsid w:val="00CF1B93"/>
    <w:rsid w:val="00D16893"/>
    <w:rsid w:val="00D227D7"/>
    <w:rsid w:val="00D3361B"/>
    <w:rsid w:val="00D34582"/>
    <w:rsid w:val="00D421C8"/>
    <w:rsid w:val="00D953DF"/>
    <w:rsid w:val="00DA4761"/>
    <w:rsid w:val="00DD3D65"/>
    <w:rsid w:val="00E02EE1"/>
    <w:rsid w:val="00E50F19"/>
    <w:rsid w:val="00EA78C3"/>
    <w:rsid w:val="00F63C10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2321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2024-06-25T08:05:00Z</dcterms:modified>
</cp:coreProperties>
</file>